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 325</w:t>
      </w:r>
    </w:p>
    <w:p>
      <w:r>
        <w:t>Bundesgericht (BGE), 2020-08-20, DE</w:t>
      </w:r>
    </w:p>
    <w:p>
      <w:r>
        <w:rPr>
          <w:b/>
        </w:rPr>
        <w:t xml:space="preserve">Quelle: </w:t>
      </w:r>
      <w:r>
        <w:t>https://mcp.opencaselaw.ch/entscheid/bge_147 I 325</w:t>
      </w:r>
    </w:p>
    <w:p>
      <w:r>
        <w:t>FR: ATF 147 I 325</w:t>
      </w:r>
    </w:p>
    <w:p>
      <w:r>
        <w:t>IT: DTF 147 I 325</w:t>
      </w:r>
    </w:p>
    <w:p>
      <w:pPr>
        <w:pStyle w:val="Heading2"/>
      </w:pPr>
      <w:r>
        <w:t>Regeste</w:t>
      </w:r>
    </w:p>
    <w:p>
      <w:r>
        <w:t>Regeste Art. 127 Abs. 3 BV; Art. 20 Abs. 1 StHG; Art. 626 Ziff. 1 OR i.V.m. Art. 56 ZGB; Doppelbesteuerungsverbot; Hauptsteuerdomizil und Sitzwechsel. Verwirkung des doppelbesteuerungsrechtlichen Beschwerderechts des Steuerpflichtigen (E. 4.2). Über die Konstellation hinaus, in welcher der Steuerpflichtige den Anspruch eines Kantons in Kenntnis des kollidierenden Anspruchs eines anderen Kantons vorbehaltlos anerkennt, ist eine Verwirkung des Beschwerderechts entsprechend dem Charakter des Doppelbesteuerungsverbots als verfassungsmässiges Recht nur mit Zurückhaltung zu bejahen, nämlich dann, wenn sich das Verhalten des Steuerpflichtigen als rechtsmissbräuchlich bzw. treuwidrig erweist (E. 4.2.1). Im Hinblick auf die einschneidende Rechtsfolge der Verwirkung des Beschwerderechts geht es zu weit, immer schon dann auf eine solche zu schliessen, wenn der Steuerpflichtige mit einem kollidierenden Steueranspruch eines anderen Kantons rechnen muss und den ersten Kanton hierauf nicht hinweist; Anwendung im konkreten Fall (E. 4.3 und 4.4).</w:t>
      </w:r>
    </w:p>
    <w:p>
      <w:pPr>
        <w:pStyle w:val="Heading2"/>
      </w:pPr>
      <w:r>
        <w:t>Erwägungen</w:t>
      </w:r>
    </w:p>
    <w:p>
      <w:r>
        <w:rPr>
          <w:b/>
        </w:rPr>
        <w:t>E. 4.1</w:t>
      </w:r>
    </w:p>
    <w:p>
      <w:r>
        <w:t>Zu prüfen bleibt der Eventualantrag der Beschwerdeführerin, wonach die definitiven Veranlagungsverfügungen des Kantons Zug für die Zeiträume 1. Juni 2010 bis 31. Mai 2011 vom 26. Juni 2013, 1. Juni 2011 bis 31. Mai 2012 vom 8. April 2014 sowie 1. Juni 2012 bis 31. Mai 2013 vom 8. April 2014 aufzuheben seien und der Kanton Zug zu verpflichten sei, die bereits bezahlten Steuerbeiträge zurückzuerstatten.</w:t>
      </w:r>
    </w:p>
    <w:p>
      <w:r>
        <w:rPr>
          <w:b/>
        </w:rPr>
        <w:t>E. 4.2.1</w:t>
      </w:r>
    </w:p>
    <w:p>
      <w:r>
        <w:t>Nach bundesgerichtlicher Rechtsprechung verwirkt der Steuerpflichtige das Beschwerderecht bzw. das Recht zur Anfechtung der (rechtskräftigen) kantonalen Veranlagung, wenn er seine Steuerpflicht in einem Kanton in Kenntnis des kollidierenden Steueranspruchs des anderen Kantons vorbehaltslos anerkennt. Von einer vorbehaltlosen Anerkennung ist insbesondere auszugehen, wenn sich der Steuerpflichtige der Veranlagung ausdrücklich oder stillschweigend unterwirft (vorbehaltlose Abgabe einer Steuererklärung), die geforderten Steuerbeträge vorbehaltslos bezahlt und die Einsprache bzw. Einlegung weiterer Rechtsmittel unterlässt ( BGE 137 I 273 E. 3.3.3 S. 278; Urteile 2C_592/2018 vom 1. Oktober 2019 E. 6.1; 2C_274/2019 vom 13. September 2019 E. 4.3.1; je mit Hinweisen). Eine solche Verwirkung wird indessen nicht von Amtes wegen berücksichtigt, sondern muss von den betroffenen Behörden/Kantonen geltend gemacht werden ( BGE 137 I 273 E. 3.3.3 S. 279). Über die Konstellation hinaus, in welcher der Steuerpflichtige den Anspruch eines Kantons in Kenntnis des kollidierenden Anspruchs eines anderen Kantons, d.h. wenn der andere Kanton im Zeitpunkt BGE 147 I 325 S. 329 der Veranlagung des ersten Kantons seinen Anspruch bereits konkret erhoben hat oder zumindest mit diesem Ziel gegenüber dem Steuerpflichtigen aktiv geworden ist, anerkennt, ist eine Verwirkung des Beschwerderechts entsprechend dem Charakter des Doppelbesteuerungsverbots als verfassungsmässiges Recht nur mit Zurückhaltung anzunehmen, nämlich dann, wenn sich das Verhalten der Steuerpflichtigen als geradezu rechtsmissbräuchlich bzw. treuwidrig darstellt. Ein treuwidriges Verhalten hat das Bundesgericht bisher z.B. angenommen, wenn der Steuerpflichtige wegen des Fortbestehens einer Betriebsstätte im anderen Kanton weiss oder wissen muss, dass der Betriebsstättenkanton einen kollidierenden Anspruch erheben wird und dennoch in der Steuererklärung des Kantons des ersten Kantons keinen Hinweis auf die Existenz einer Betriebsstätte im anderen Kanton anbringt (Urteil 2C_655/2016 vom 17. Juli 2017 E. 2.4.2) oder wenn der Steuerpflichtige gegenüber dem ersten Kanton bewusst falsche Angaben gemacht hat (Urteil 2C_592/2018 vom 1. Oktober 2019 E. 6.4 und 6.6).</w:t>
      </w:r>
    </w:p>
    <w:p>
      <w:r>
        <w:rPr>
          <w:b/>
        </w:rPr>
        <w:t>E. 4.2.2</w:t>
      </w:r>
    </w:p>
    <w:p>
      <w:r>
        <w:t>Von der Verwirkung durch den Steuerpflichtigen zu unterscheiden ist die Verwirkung des Besteuerungsanspruchs durch einen Kanton. Sie greift dann, wenn ein Kanton, der die für die Steuerpflicht massgeblichen Tatsachen kennt oder kennen kann, trotzdem mit der Erhebung des Steueranspruchs ungebührlich lange zuwartet und wenn bei Gutheissung des erst nachträglich erhobenen Anspruchs ein anderer Kanton zur Rückerstattung von Steuern verpflichtet werden müsste, die er formell ordnungsgemäss in guten Treuen und in Unkenntnis des kollidierenden Steueranspruchs bezogen hat ( BGE 137 I 273 E. 3.3.4 S. 279 m.H.). Diese Verwirkung ist aber ein Institut zugunsten der steuererhebenden Kantone und nicht der Pflichtigen. Ihr Sinn und Zweck liegt darin, den betroffenen Zweitkanton davor zu bewahren, schon bezogene Steuern auf Grund eines an sich vorrangigen, aber erst ungebührlich spät erhobenen Steueranspruches rückerstatten zu müssen. Deshalb kann - und muss - auch diese Verwirkung nur durch den anderen Kanton und nicht durch den Pflichtigen selbst geltend gemacht werden (vgl. BGE 137 I 273 E. 3.3.4 S. 279 m.H.).</w:t>
      </w:r>
    </w:p>
    <w:p>
      <w:r>
        <w:rPr>
          <w:b/>
        </w:rPr>
        <w:t>E. 4.3</w:t>
      </w:r>
    </w:p>
    <w:p>
      <w:r>
        <w:t>Hier geht es um eine Verwirkung des ersten Typs, indem die Steuerverwaltung des Kantons Zug namentlich geltend macht, die damals fachkundig vertretene Beschwerdeführerin (durch die H. AG; diese handelnd durch B., der gleichzeitig Verwaltungsrat der BGE 147 I 325 S. 330 Beschwerdeführerin gewesen sei) habe rechtsmissbräuchlich gehandelt und am 18. August 2010 eine Rulinganfrage gestellt, in der wichtige Sachverhaltselemente unterschlagen worden seien, so u.a., dass der Vertragsabschluss mit der G. Co., Ltd. bereits mehr als einen Monat zurückgelegen habe; in der Anfrage sei auch nicht erwähnt worden, dass der Beschwerdeführerin im Wesentlichen nur erlaubt gewesen sei, die bereits bestehenden Lizenzverträge mit Drittkunden bis zum Ablauf weiter zu bedienen. Sodann sei auch der Verkaufserlös in der eingereichten Erfolgsrechnung vom 1. Juni 2010 bis 31. Mai 2011 zusammen mit den Lizenzeinnahmen in der Position "Umsatz CSPRodukte" aufgeführt und nicht separat ausgewiesen worden. Die Steuerverwaltung schliesst insbesondere aus diesen Umständen, dass die Sitzverlegung im vorliegenden Fall als rechtsmissbräuchlich betrachtet werden müsse, weshalb die Beschwerdeführerin die Konsequenzen einer Doppelbesteuerung hinnehmen müsse. Der sich gegen den Kanton Zug richtende Eventualantrag sei daher abzuweisen.</w:t>
      </w:r>
    </w:p>
    <w:p>
      <w:r>
        <w:rPr>
          <w:b/>
        </w:rPr>
        <w:t>E. 4.4.1</w:t>
      </w:r>
    </w:p>
    <w:p>
      <w:r>
        <w:t>Es kann offenbleiben, ob die Sitzverlegung als solche rechtsmissbräuchlich war. Der entsprechende Vorwurf des Kantons Zug ist jedenfalls als Verwirkungseinrede gegenüber der Steuerpflichtigen zu interpretieren. Selbst wenn die Sitzverlegung rechtsmissbräuchlich gewesen sein sollte, hat das jedenfalls nicht zur Konsequenz, dass entgegen dem Verbot der interkantonalen Doppelbesteuerung ausnahmsweise in beiden Kantonen eine Steuerpflicht besteht. Zu beantworten ist allein die Frage, ob die Beschwerdeführerin durch ihr Verhalten im Zusammenhang mit der Veranlagung im Kanton Zug ihr Recht, sich gegenüber dem Kanton Zug auf das Doppelbesteuerungsverbot zu berufen, verwirkt hat. Die Zürcherischen Steuerbehörden sind erst lange nach Rechtskraft der im Kanton Zug vorgenommenen Veranlagungen tätig geworden. Eine Verwirkung wegen Anerkennung der Steuerforderung, obwohl der andere Kanton im Zeitpunkt der Veranlagung seinen Anspruch bereits konkret erhoben hat oder zumindest mit diesem Ziel gegenüber dem Steuerpflichtigen aktiv geworden ist, fällt damit ausser Betracht. Es kann sich damit nur noch fragen, ob das Verhalten der Beschwerdeführerin als treuwidrig bezeichnet werden muss.</w:t>
      </w:r>
    </w:p>
    <w:p>
      <w:r>
        <w:rPr>
          <w:b/>
        </w:rPr>
        <w:t>E. 4.4.2</w:t>
      </w:r>
    </w:p>
    <w:p>
      <w:r>
        <w:t>Mit der Steuerverwaltung des Kantons Zug und entgegen der Auffassung der Beschwerdeführerin ist dabei zunächst festzustellen, BGE 147 I 325 S. 331 dass deren Rulinganfrage nicht eine in jeder Hinsicht transparente und zutreffende Sachverhaltsschilderung enthielt. In der Rulinganfrage vom 18. August 2010 fehlten vielmehr für die Beurteilung des Sachverhalts wesentliche Sachverhaltselemente. So wurde zwar darauf hingewiesen, dass die Beschwerdeführerin über kein Personal und keine eigenen Räumlichkeiten (mehr) verfügte. Hingegen wird aus der Rulinganfrage in keiner Weise erkennbar, dass die Gesellschaft im Zeitpunkt der Rulinganfrage bereits ihr einziges wesentliches Aktivum veräussert und sich gleichzeitig verpflichtet hatte, die noch bestehenden Lizenzverträge auslaufen zu lassen. Zwar wurde erwähnt, dass "im zweiten Halbjahr 2010 zudem ein Teil des entwickelten Technologie-Know Hows - anstelle in Lizenz vergeben - gleich an einen in Japan ansässigen grösseren Technologiekonzern veräussert wird". Verschwiegen wurde jedoch, dass der entsprechende Kaufvertrag schon abgeschlossen worden und die Gesellschaft danach nur noch dazu bestimmt war, die Lizenzgebühren während der Restlaufdauer der an Dritte vergebenen Lizenzen zu vereinnahmen, und dann abgewickelt werden sollte. Aus der Rulinganfrage ergibt sich damit der Eindruck, dass die Gesellschaft zwar beabsichtige, einen erheblichen Teil ihres Vermögens zu veräussern, jedoch auch in Zukunft noch über nicht unerhebliche ertragbringende Rechte verfügen werde, mit andern Worten als eine auf einen dauernden Betrieb ausgerichtete Lizenzverwertungsgesellschaft im Kanton Zug ihren Sitz genommen habe. Auch wenn die Rulinganfrage damit nicht als in jeder Hinsicht transparent und vollständig bezeichnet werden kann, enthält sie doch keine eigentlichen Unwahrheiten und stellt damit kein treuwidriges Verhalten im Veranlagungsverfahren dar, welches für sich allein eine Verwirkung des Rechts, beschwerdeweise die Doppelbesteuerung geltend machen zu können, bewirkt (im Unterschied etwa zum Urteil 2C_592/2018 vom 1. Oktober 2019 E. 6.4, wo die Steuerpflichtige der Steuerverwaltung des Kantons Appenzell eine unwahre Auskunft erteilt hatte).</w:t>
      </w:r>
    </w:p>
    <w:p>
      <w:r>
        <w:rPr>
          <w:b/>
        </w:rPr>
        <w:t>E. 4.4.3</w:t>
      </w:r>
    </w:p>
    <w:p>
      <w:r>
        <w:t>Zu beantworten bleibt damit, ob das Verhalten der Beschwerdeführerin in anderer Hinsicht als treuwidrig bezeichnet werden kann. So hat es etwa das Bundesgericht schon als treuwidrig angesehen, wenn eine Gesellschaft, deren Verwaltungsratspräsident wie auch der Rechtsvertreter Anwälte und diplomierte Steuerexperten sind, trotz Bestehens einer Betriebsstätte im anderen Kanton in der Steuererklärung des Hauptsteuerdomizils diese Betriebsstätte nicht deklariert BGE 147 I 325 S. 332 (Urteil 2C_655/2016 vom 17. Juli 2017 E. 2.4.2). Im Ergebnis kann somit gegebenenfalls bei steuerkundigen und/oder steuerkundig vertretenen Steuerpflichtigen schon das Wissen um den kollidierenden Steueranspruch des anderen Kantons zusammen mit dem Umstand, dass der erste Kanton nicht auf das (mögliche) Bestehen eines solchen Anspruchs aufmerksam gemacht wird, für die Annahme der Treuwidrigkeit ausreichen (vgl. dazu auch das Urteil 2C_539/2017 vom 7. Februar 2019 E. 5.4, wo der Steuerpflichtigen vorgeworfen wurde, dass sie die Steuerverwaltung des ersten Kantons nicht über den kollidierenden Anspruch des anderen Kantons in Kenntnis gesetzt hatte). Ohne sichere Kenntnis entweder des Umstands, dass die Steuerbehörden des anderen Kantons im Hinblick auf die Geltendmachung eines kollidierenden Steueranspruchs bereits tätig geworden sind oder zumindest sichere Kenntnis, dass ein solcher Anspruch besteht (so in der Konstellation des Weiterbestehens einer Betriebsstätte), ginge es im Hinblick auf die einschneidende Rechtsfolge der Verwirkung des Beschwerderechts (und damit im Ergebnis die Hinnahme einer aktuellen Doppelbesteuerung) indessen zu weit, immer schon dann, wenn der Steuerpflichtige mit einem kollidierenden Steueranspruch eines anderen Kantons rechnen muss und den ersten Kanton nicht darauf hinweist, auf ein treuwidriges Verhalten zu schliessen. In der vorliegend zu beurteilenden Angelegenheit muss zwar davon ausgegangen werden, dass der Sitzwechsel vor allem im Hinblick auf die Liquidation der Beschwerdeführerin erfolgte, um dadurch die im Zusammenhang damit entstehende Steuerlast zu minimieren. Dem fachkundigen Steuervertreter (sowie Domizilgeber und Verwaltungsrat) der Beschwerdeführerin, der gleichzeitig für die Erledigung von deren administrativen Belangen und damit auch die Prüfung der Steuerveranlagungen sowie die Bezahlung der Steuerrechnungen verantwortlich war, musste damit das Risiko, dass die Zürcher Steuerbehörden den Sitzwechsel nicht akzeptieren würden, bewusst sein. Allein daraus lässt sich indessen noch nicht ableiten, dass das Verhalten der Beschwerdeführerin bzw. das ihr zuzurechnende Verhalten ihres Steuervertreters treuwidrig war, indem sie bzw. ihr Steuervertreter den Kanton Zug nicht auf einen möglicherweise mit dessen Besteuerungsanspruch kollidierenden Anspruch des Kantons Zürich hinwies. Das Beschwerderecht der Beschwerdeführerin mit Bezug auf die Doppelbesteuerung im Kanton Zug ist daher nicht verwirkt.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